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151BF" w14:textId="77777777" w:rsidR="00295C90" w:rsidRPr="00C4045F" w:rsidRDefault="00B46418" w:rsidP="00B46418">
      <w:pPr>
        <w:pStyle w:val="Default"/>
        <w:jc w:val="center"/>
        <w:rPr>
          <w:rFonts w:ascii="Georgia" w:hAnsi="Georgia"/>
          <w:b/>
          <w:bCs/>
          <w:sz w:val="28"/>
          <w:szCs w:val="28"/>
        </w:rPr>
      </w:pPr>
      <w:r w:rsidRPr="00C4045F">
        <w:rPr>
          <w:rFonts w:ascii="Georgia" w:hAnsi="Georgia"/>
          <w:b/>
          <w:bCs/>
          <w:sz w:val="28"/>
          <w:szCs w:val="28"/>
        </w:rPr>
        <w:t>The R</w:t>
      </w:r>
      <w:r w:rsidR="00295C90" w:rsidRPr="00C4045F">
        <w:rPr>
          <w:rFonts w:ascii="Georgia" w:hAnsi="Georgia"/>
          <w:b/>
          <w:bCs/>
          <w:sz w:val="28"/>
          <w:szCs w:val="28"/>
        </w:rPr>
        <w:t xml:space="preserve">ole of the Second </w:t>
      </w:r>
      <w:r w:rsidRPr="00C4045F">
        <w:rPr>
          <w:rFonts w:ascii="Georgia" w:hAnsi="Georgia"/>
          <w:b/>
          <w:bCs/>
          <w:sz w:val="28"/>
          <w:szCs w:val="28"/>
        </w:rPr>
        <w:t>Reader for Senior T</w:t>
      </w:r>
      <w:r w:rsidR="00295C90" w:rsidRPr="00C4045F">
        <w:rPr>
          <w:rFonts w:ascii="Georgia" w:hAnsi="Georgia"/>
          <w:b/>
          <w:bCs/>
          <w:sz w:val="28"/>
          <w:szCs w:val="28"/>
        </w:rPr>
        <w:t>heses</w:t>
      </w:r>
    </w:p>
    <w:p w14:paraId="774C74BA" w14:textId="77777777" w:rsidR="00C4045F" w:rsidRDefault="00C4045F" w:rsidP="00B46418">
      <w:pPr>
        <w:pStyle w:val="Default"/>
        <w:jc w:val="center"/>
        <w:rPr>
          <w:rFonts w:ascii="Georgia" w:hAnsi="Georgia"/>
          <w:bCs/>
          <w:i/>
        </w:rPr>
      </w:pPr>
    </w:p>
    <w:p w14:paraId="44F2A227" w14:textId="77777777" w:rsidR="00282714" w:rsidRPr="00C4045F" w:rsidRDefault="00282714" w:rsidP="00B46418">
      <w:pPr>
        <w:pStyle w:val="Default"/>
        <w:jc w:val="center"/>
        <w:rPr>
          <w:rFonts w:ascii="Georgia" w:hAnsi="Georgia"/>
          <w:bCs/>
          <w:i/>
        </w:rPr>
      </w:pPr>
      <w:r w:rsidRPr="00C4045F">
        <w:rPr>
          <w:rFonts w:ascii="Georgia" w:hAnsi="Georgia"/>
          <w:bCs/>
          <w:i/>
        </w:rPr>
        <w:t>Undergraduate Education Committee (UNDED)</w:t>
      </w:r>
    </w:p>
    <w:p w14:paraId="2329F1EB" w14:textId="39284E00" w:rsidR="00B46418" w:rsidRPr="0005398B" w:rsidRDefault="00282714" w:rsidP="00B46418">
      <w:pPr>
        <w:pStyle w:val="Default"/>
        <w:jc w:val="center"/>
        <w:rPr>
          <w:rFonts w:ascii="Georgia" w:hAnsi="Georgia"/>
          <w:b/>
          <w:bCs/>
        </w:rPr>
      </w:pPr>
      <w:r w:rsidRPr="00C4045F">
        <w:rPr>
          <w:rFonts w:ascii="Georgia" w:hAnsi="Georgia"/>
          <w:bCs/>
          <w:i/>
        </w:rPr>
        <w:t>Department of History</w:t>
      </w:r>
    </w:p>
    <w:p w14:paraId="1B327C92" w14:textId="77777777" w:rsidR="00295C90" w:rsidRPr="0005398B" w:rsidRDefault="00295C90" w:rsidP="00295C90">
      <w:pPr>
        <w:pStyle w:val="Default"/>
        <w:rPr>
          <w:rFonts w:ascii="Georgia" w:hAnsi="Georgia"/>
        </w:rPr>
      </w:pPr>
    </w:p>
    <w:p w14:paraId="7AE1A95A" w14:textId="125F3E8F" w:rsidR="00295C90" w:rsidRPr="0005398B" w:rsidRDefault="00295C90" w:rsidP="00295C90">
      <w:pPr>
        <w:pStyle w:val="Default"/>
        <w:rPr>
          <w:rFonts w:ascii="Georgia" w:hAnsi="Georgia" w:cstheme="minorBidi"/>
          <w:color w:val="auto"/>
        </w:rPr>
      </w:pPr>
      <w:r w:rsidRPr="0005398B">
        <w:rPr>
          <w:rFonts w:ascii="Georgia" w:hAnsi="Georgia" w:cstheme="minorBidi"/>
          <w:color w:val="auto"/>
        </w:rPr>
        <w:t xml:space="preserve">The role of the Second Reader for students undertaking </w:t>
      </w:r>
      <w:r w:rsidR="00282714">
        <w:rPr>
          <w:rFonts w:ascii="Georgia" w:hAnsi="Georgia" w:cstheme="minorBidi"/>
          <w:color w:val="auto"/>
        </w:rPr>
        <w:t xml:space="preserve">the </w:t>
      </w:r>
      <w:proofErr w:type="gramStart"/>
      <w:r w:rsidR="00282714">
        <w:rPr>
          <w:rFonts w:ascii="Georgia" w:hAnsi="Georgia" w:cstheme="minorBidi"/>
          <w:color w:val="auto"/>
        </w:rPr>
        <w:t>year-long</w:t>
      </w:r>
      <w:proofErr w:type="gramEnd"/>
      <w:r w:rsidR="00282714">
        <w:rPr>
          <w:rFonts w:ascii="Georgia" w:hAnsi="Georgia" w:cstheme="minorBidi"/>
          <w:color w:val="auto"/>
        </w:rPr>
        <w:t xml:space="preserve"> senior thesis project</w:t>
      </w:r>
      <w:r w:rsidRPr="0005398B">
        <w:rPr>
          <w:rFonts w:ascii="Georgia" w:hAnsi="Georgia" w:cstheme="minorBidi"/>
          <w:color w:val="auto"/>
        </w:rPr>
        <w:t xml:space="preserve"> is as follows: </w:t>
      </w:r>
    </w:p>
    <w:p w14:paraId="3E2AEA5D" w14:textId="77777777" w:rsidR="00295C90" w:rsidRPr="0005398B" w:rsidRDefault="00295C90" w:rsidP="00295C90">
      <w:pPr>
        <w:pStyle w:val="Default"/>
        <w:rPr>
          <w:rFonts w:ascii="Georgia" w:hAnsi="Georgia" w:cstheme="minorBidi"/>
          <w:color w:val="auto"/>
        </w:rPr>
      </w:pPr>
    </w:p>
    <w:p w14:paraId="0F6DD79E" w14:textId="29B31E9F" w:rsidR="00E20794" w:rsidRPr="0005398B" w:rsidRDefault="00295C90" w:rsidP="00295C90">
      <w:pPr>
        <w:pStyle w:val="Default"/>
        <w:numPr>
          <w:ilvl w:val="0"/>
          <w:numId w:val="2"/>
        </w:numPr>
        <w:spacing w:after="28"/>
        <w:rPr>
          <w:rFonts w:ascii="Georgia" w:hAnsi="Georgia" w:cstheme="minorBidi"/>
          <w:color w:val="auto"/>
        </w:rPr>
      </w:pPr>
      <w:r w:rsidRPr="0005398B">
        <w:rPr>
          <w:rFonts w:ascii="Georgia" w:hAnsi="Georgia" w:cstheme="minorBidi"/>
          <w:color w:val="auto"/>
        </w:rPr>
        <w:t xml:space="preserve">To provide expert advice to the student during the </w:t>
      </w:r>
      <w:r w:rsidR="00C471A5" w:rsidRPr="0005398B">
        <w:rPr>
          <w:rFonts w:ascii="Georgia" w:hAnsi="Georgia" w:cstheme="minorBidi"/>
          <w:color w:val="auto"/>
        </w:rPr>
        <w:t>f</w:t>
      </w:r>
      <w:r w:rsidRPr="0005398B">
        <w:rPr>
          <w:rFonts w:ascii="Georgia" w:hAnsi="Georgia" w:cstheme="minorBidi"/>
          <w:color w:val="auto"/>
        </w:rPr>
        <w:t xml:space="preserve">all semester regarding the researching and framing of the thesis topic; by the second week of December, the thesis seminar </w:t>
      </w:r>
      <w:r w:rsidR="0028143C" w:rsidRPr="0005398B">
        <w:rPr>
          <w:rFonts w:ascii="Georgia" w:hAnsi="Georgia" w:cstheme="minorBidi"/>
          <w:color w:val="auto"/>
        </w:rPr>
        <w:t>instructor</w:t>
      </w:r>
      <w:r w:rsidRPr="0005398B">
        <w:rPr>
          <w:rFonts w:ascii="Georgia" w:hAnsi="Georgia" w:cstheme="minorBidi"/>
          <w:color w:val="auto"/>
        </w:rPr>
        <w:t xml:space="preserve"> and the </w:t>
      </w:r>
      <w:r w:rsidR="009E2B54" w:rsidRPr="0005398B">
        <w:rPr>
          <w:rFonts w:ascii="Georgia" w:hAnsi="Georgia" w:cstheme="minorBidi"/>
          <w:color w:val="auto"/>
        </w:rPr>
        <w:t>Second Reader</w:t>
      </w:r>
      <w:r w:rsidRPr="0005398B">
        <w:rPr>
          <w:rFonts w:ascii="Georgia" w:hAnsi="Georgia" w:cstheme="minorBidi"/>
          <w:color w:val="auto"/>
        </w:rPr>
        <w:t xml:space="preserve"> should consult briefly to ensure that the student has been in touch with the </w:t>
      </w:r>
      <w:r w:rsidR="009E2B54" w:rsidRPr="0005398B">
        <w:rPr>
          <w:rFonts w:ascii="Georgia" w:hAnsi="Georgia" w:cstheme="minorBidi"/>
          <w:color w:val="auto"/>
        </w:rPr>
        <w:t>Second Reader</w:t>
      </w:r>
      <w:r w:rsidRPr="0005398B">
        <w:rPr>
          <w:rFonts w:ascii="Georgia" w:hAnsi="Georgia" w:cstheme="minorBidi"/>
          <w:color w:val="auto"/>
        </w:rPr>
        <w:t xml:space="preserve"> and understands how to proceed with his/her topic; </w:t>
      </w:r>
      <w:r w:rsidR="00282714" w:rsidRPr="00C4045F">
        <w:rPr>
          <w:rFonts w:ascii="Georgia" w:hAnsi="Georgia" w:cstheme="minorBidi"/>
          <w:i/>
          <w:color w:val="auto"/>
        </w:rPr>
        <w:t xml:space="preserve">the </w:t>
      </w:r>
      <w:r w:rsidRPr="00C4045F">
        <w:rPr>
          <w:rFonts w:ascii="Georgia" w:hAnsi="Georgia" w:cstheme="minorBidi"/>
          <w:i/>
          <w:color w:val="auto"/>
        </w:rPr>
        <w:t xml:space="preserve">responsibility to contact the </w:t>
      </w:r>
      <w:r w:rsidR="009E2B54" w:rsidRPr="00C4045F">
        <w:rPr>
          <w:rFonts w:ascii="Georgia" w:hAnsi="Georgia" w:cstheme="minorBidi"/>
          <w:i/>
          <w:color w:val="auto"/>
        </w:rPr>
        <w:t>Second Reader</w:t>
      </w:r>
      <w:r w:rsidRPr="00C4045F">
        <w:rPr>
          <w:rFonts w:ascii="Georgia" w:hAnsi="Georgia" w:cstheme="minorBidi"/>
          <w:i/>
          <w:color w:val="auto"/>
        </w:rPr>
        <w:t xml:space="preserve"> rests with the student</w:t>
      </w:r>
      <w:r w:rsidRPr="0005398B">
        <w:rPr>
          <w:rFonts w:ascii="Georgia" w:hAnsi="Georgia" w:cstheme="minorBidi"/>
          <w:color w:val="auto"/>
        </w:rPr>
        <w:t xml:space="preserve">. </w:t>
      </w:r>
      <w:bookmarkStart w:id="0" w:name="_GoBack"/>
      <w:bookmarkEnd w:id="0"/>
    </w:p>
    <w:p w14:paraId="03F5761C" w14:textId="77777777" w:rsidR="00E20794" w:rsidRPr="0005398B" w:rsidRDefault="00E20794" w:rsidP="00E20794">
      <w:pPr>
        <w:pStyle w:val="Default"/>
        <w:spacing w:after="28"/>
        <w:ind w:left="720"/>
        <w:rPr>
          <w:rFonts w:ascii="Georgia" w:hAnsi="Georgia" w:cstheme="minorBidi"/>
          <w:color w:val="auto"/>
        </w:rPr>
      </w:pPr>
    </w:p>
    <w:p w14:paraId="1CC7FC57" w14:textId="77777777" w:rsidR="00C4045F" w:rsidRDefault="00295C90" w:rsidP="00295C90">
      <w:pPr>
        <w:pStyle w:val="Default"/>
        <w:numPr>
          <w:ilvl w:val="0"/>
          <w:numId w:val="2"/>
        </w:numPr>
        <w:spacing w:after="28"/>
        <w:rPr>
          <w:rFonts w:ascii="Georgia" w:hAnsi="Georgia" w:cstheme="minorBidi"/>
          <w:color w:val="auto"/>
        </w:rPr>
      </w:pPr>
      <w:r w:rsidRPr="0005398B">
        <w:rPr>
          <w:rFonts w:ascii="Georgia" w:hAnsi="Georgia" w:cstheme="minorBidi"/>
          <w:color w:val="auto"/>
        </w:rPr>
        <w:t xml:space="preserve">To write an assessment of the project for the student and the seminar </w:t>
      </w:r>
      <w:r w:rsidR="00E20794" w:rsidRPr="0005398B">
        <w:rPr>
          <w:rFonts w:ascii="Georgia" w:hAnsi="Georgia" w:cstheme="minorBidi"/>
          <w:color w:val="auto"/>
        </w:rPr>
        <w:t>instructo</w:t>
      </w:r>
      <w:r w:rsidRPr="0005398B">
        <w:rPr>
          <w:rFonts w:ascii="Georgia" w:hAnsi="Georgia" w:cstheme="minorBidi"/>
          <w:color w:val="auto"/>
        </w:rPr>
        <w:t>r before final submission</w:t>
      </w:r>
      <w:r w:rsidR="00C4045F">
        <w:rPr>
          <w:rFonts w:ascii="Georgia" w:hAnsi="Georgia" w:cstheme="minorBidi"/>
          <w:color w:val="auto"/>
        </w:rPr>
        <w:t xml:space="preserve"> in the spring</w:t>
      </w:r>
      <w:r w:rsidR="00282714">
        <w:rPr>
          <w:rFonts w:ascii="Georgia" w:hAnsi="Georgia" w:cstheme="minorBidi"/>
          <w:color w:val="auto"/>
        </w:rPr>
        <w:t xml:space="preserve">. </w:t>
      </w:r>
      <w:r w:rsidR="00282714" w:rsidRPr="00282714">
        <w:rPr>
          <w:rFonts w:ascii="Georgia" w:hAnsi="Georgia" w:cstheme="minorBidi"/>
          <w:color w:val="auto"/>
        </w:rPr>
        <w:t xml:space="preserve">The main thing </w:t>
      </w:r>
      <w:r w:rsidR="00282714">
        <w:rPr>
          <w:rFonts w:ascii="Georgia" w:hAnsi="Georgia" w:cstheme="minorBidi"/>
          <w:color w:val="auto"/>
        </w:rPr>
        <w:t>this written assessment</w:t>
      </w:r>
      <w:r w:rsidR="00282714" w:rsidRPr="00282714">
        <w:rPr>
          <w:rFonts w:ascii="Georgia" w:hAnsi="Georgia" w:cstheme="minorBidi"/>
          <w:color w:val="auto"/>
        </w:rPr>
        <w:t xml:space="preserve"> need</w:t>
      </w:r>
      <w:r w:rsidR="00282714">
        <w:rPr>
          <w:rFonts w:ascii="Georgia" w:hAnsi="Georgia" w:cstheme="minorBidi"/>
          <w:color w:val="auto"/>
        </w:rPr>
        <w:t>s</w:t>
      </w:r>
      <w:r w:rsidR="00282714" w:rsidRPr="00282714">
        <w:rPr>
          <w:rFonts w:ascii="Georgia" w:hAnsi="Georgia" w:cstheme="minorBidi"/>
          <w:color w:val="auto"/>
        </w:rPr>
        <w:t xml:space="preserve"> to accomplish is to give advice on </w:t>
      </w:r>
      <w:r w:rsidR="00282714" w:rsidRPr="00C4045F">
        <w:rPr>
          <w:rFonts w:ascii="Georgia" w:hAnsi="Georgia" w:cstheme="minorBidi"/>
          <w:b/>
          <w:color w:val="auto"/>
        </w:rPr>
        <w:t>revisions</w:t>
      </w:r>
      <w:r w:rsidR="00282714" w:rsidRPr="00282714">
        <w:rPr>
          <w:rFonts w:ascii="Georgia" w:hAnsi="Georgia" w:cstheme="minorBidi"/>
          <w:color w:val="auto"/>
        </w:rPr>
        <w:t xml:space="preserve">.  </w:t>
      </w:r>
      <w:r w:rsidR="00282714">
        <w:rPr>
          <w:rFonts w:ascii="Georgia" w:hAnsi="Georgia" w:cstheme="minorBidi"/>
          <w:color w:val="auto"/>
        </w:rPr>
        <w:t xml:space="preserve">Second Readers should therefore </w:t>
      </w:r>
      <w:r w:rsidR="00282714" w:rsidRPr="00282714">
        <w:rPr>
          <w:rFonts w:ascii="Georgia" w:hAnsi="Georgia" w:cstheme="minorBidi"/>
          <w:color w:val="auto"/>
        </w:rPr>
        <w:t xml:space="preserve">focus on </w:t>
      </w:r>
      <w:r w:rsidR="00282714" w:rsidRPr="00C4045F">
        <w:rPr>
          <w:rFonts w:ascii="Georgia" w:hAnsi="Georgia" w:cstheme="minorBidi"/>
          <w:b/>
          <w:color w:val="auto"/>
        </w:rPr>
        <w:t>substance</w:t>
      </w:r>
      <w:r w:rsidR="00282714" w:rsidRPr="00282714">
        <w:rPr>
          <w:rFonts w:ascii="Georgia" w:hAnsi="Georgia" w:cstheme="minorBidi"/>
          <w:color w:val="auto"/>
        </w:rPr>
        <w:t xml:space="preserve">, </w:t>
      </w:r>
      <w:r w:rsidR="00282714" w:rsidRPr="00C4045F">
        <w:rPr>
          <w:rFonts w:ascii="Georgia" w:hAnsi="Georgia" w:cstheme="minorBidi"/>
          <w:b/>
          <w:color w:val="auto"/>
        </w:rPr>
        <w:t>organization</w:t>
      </w:r>
      <w:r w:rsidR="00282714" w:rsidRPr="00282714">
        <w:rPr>
          <w:rFonts w:ascii="Georgia" w:hAnsi="Georgia" w:cstheme="minorBidi"/>
          <w:color w:val="auto"/>
        </w:rPr>
        <w:t xml:space="preserve">, and </w:t>
      </w:r>
      <w:r w:rsidR="00282714" w:rsidRPr="00C4045F">
        <w:rPr>
          <w:rFonts w:ascii="Georgia" w:hAnsi="Georgia" w:cstheme="minorBidi"/>
          <w:b/>
          <w:color w:val="auto"/>
        </w:rPr>
        <w:t>argument</w:t>
      </w:r>
      <w:r w:rsidR="00282714" w:rsidRPr="00282714">
        <w:rPr>
          <w:rFonts w:ascii="Georgia" w:hAnsi="Georgia" w:cstheme="minorBidi"/>
          <w:color w:val="auto"/>
        </w:rPr>
        <w:t xml:space="preserve">; the seminar instructors will deal with things like style and format. </w:t>
      </w:r>
    </w:p>
    <w:p w14:paraId="0ACB86BC" w14:textId="77777777" w:rsidR="00C4045F" w:rsidRDefault="00C4045F" w:rsidP="00C4045F">
      <w:pPr>
        <w:pStyle w:val="Default"/>
        <w:spacing w:after="28"/>
        <w:rPr>
          <w:rFonts w:ascii="Georgia" w:hAnsi="Georgia" w:cstheme="minorBidi"/>
          <w:color w:val="auto"/>
        </w:rPr>
      </w:pPr>
    </w:p>
    <w:p w14:paraId="7AC0BC00" w14:textId="678519E6" w:rsidR="00295C90" w:rsidRPr="0005398B" w:rsidRDefault="00C4045F" w:rsidP="00C4045F">
      <w:pPr>
        <w:pStyle w:val="Default"/>
        <w:spacing w:after="28"/>
        <w:rPr>
          <w:rFonts w:ascii="Georgia" w:hAnsi="Georgia" w:cstheme="minorBidi"/>
          <w:color w:val="auto"/>
        </w:rPr>
      </w:pPr>
      <w:r>
        <w:rPr>
          <w:rFonts w:ascii="Georgia" w:hAnsi="Georgia" w:cstheme="minorBidi"/>
          <w:color w:val="auto"/>
        </w:rPr>
        <w:t xml:space="preserve">In the spring term, all Second Readers will be emailed a </w:t>
      </w:r>
      <w:r w:rsidRPr="00C4045F">
        <w:rPr>
          <w:rFonts w:ascii="Georgia" w:hAnsi="Georgia" w:cstheme="minorBidi"/>
          <w:i/>
          <w:color w:val="auto"/>
        </w:rPr>
        <w:t>Second Reader Comment Form</w:t>
      </w:r>
      <w:r>
        <w:rPr>
          <w:rFonts w:ascii="Georgia" w:hAnsi="Georgia" w:cstheme="minorBidi"/>
          <w:color w:val="auto"/>
        </w:rPr>
        <w:t xml:space="preserve"> in which to complete the written assessments mentioned above. The </w:t>
      </w:r>
      <w:r w:rsidRPr="00C4045F">
        <w:rPr>
          <w:rFonts w:ascii="Georgia" w:hAnsi="Georgia" w:cstheme="minorBidi"/>
          <w:i/>
          <w:color w:val="auto"/>
        </w:rPr>
        <w:t>Second Reader Comment Form</w:t>
      </w:r>
      <w:r>
        <w:rPr>
          <w:rFonts w:ascii="Georgia" w:hAnsi="Georgia" w:cstheme="minorBidi"/>
          <w:color w:val="auto"/>
        </w:rPr>
        <w:t xml:space="preserve"> has</w:t>
      </w:r>
      <w:r w:rsidR="00282714" w:rsidRPr="00282714">
        <w:rPr>
          <w:rFonts w:ascii="Georgia" w:hAnsi="Georgia" w:cstheme="minorBidi"/>
          <w:color w:val="auto"/>
        </w:rPr>
        <w:t xml:space="preserve"> three audiences.  The first is the </w:t>
      </w:r>
      <w:r w:rsidR="00282714" w:rsidRPr="00C4045F">
        <w:rPr>
          <w:rFonts w:ascii="Georgia" w:hAnsi="Georgia" w:cstheme="minorBidi"/>
          <w:b/>
          <w:color w:val="auto"/>
        </w:rPr>
        <w:t>student</w:t>
      </w:r>
      <w:r w:rsidR="00282714" w:rsidRPr="00282714">
        <w:rPr>
          <w:rFonts w:ascii="Georgia" w:hAnsi="Georgia" w:cstheme="minorBidi"/>
          <w:color w:val="auto"/>
        </w:rPr>
        <w:t xml:space="preserve">.  The </w:t>
      </w:r>
      <w:r>
        <w:rPr>
          <w:rFonts w:ascii="Georgia" w:hAnsi="Georgia" w:cstheme="minorBidi"/>
          <w:color w:val="auto"/>
        </w:rPr>
        <w:t>Second R</w:t>
      </w:r>
      <w:r w:rsidR="00282714" w:rsidRPr="00282714">
        <w:rPr>
          <w:rFonts w:ascii="Georgia" w:hAnsi="Georgia" w:cstheme="minorBidi"/>
          <w:color w:val="auto"/>
        </w:rPr>
        <w:t xml:space="preserve">eader system was instituted to insure that students would receive substantial written feedback from at least two faculty members on their </w:t>
      </w:r>
      <w:proofErr w:type="gramStart"/>
      <w:r w:rsidR="00282714" w:rsidRPr="00282714">
        <w:rPr>
          <w:rFonts w:ascii="Georgia" w:hAnsi="Georgia" w:cstheme="minorBidi"/>
          <w:color w:val="auto"/>
        </w:rPr>
        <w:t>year-long</w:t>
      </w:r>
      <w:proofErr w:type="gramEnd"/>
      <w:r w:rsidR="00282714" w:rsidRPr="00282714">
        <w:rPr>
          <w:rFonts w:ascii="Georgia" w:hAnsi="Georgia" w:cstheme="minorBidi"/>
          <w:color w:val="auto"/>
        </w:rPr>
        <w:t xml:space="preserve"> projects.  The second is the </w:t>
      </w:r>
      <w:r w:rsidR="00282714" w:rsidRPr="00C4045F">
        <w:rPr>
          <w:rFonts w:ascii="Georgia" w:hAnsi="Georgia" w:cstheme="minorBidi"/>
          <w:b/>
          <w:color w:val="auto"/>
        </w:rPr>
        <w:t>seminar leader</w:t>
      </w:r>
      <w:r w:rsidR="00282714" w:rsidRPr="00282714">
        <w:rPr>
          <w:rFonts w:ascii="Georgia" w:hAnsi="Georgia" w:cstheme="minorBidi"/>
          <w:color w:val="auto"/>
        </w:rPr>
        <w:t xml:space="preserve">, who needs to consider your expert assessment in determining a grade.  The third is the </w:t>
      </w:r>
      <w:r w:rsidR="007134C3" w:rsidRPr="007134C3">
        <w:rPr>
          <w:rFonts w:ascii="Georgia" w:hAnsi="Georgia" w:cstheme="minorBidi"/>
          <w:b/>
          <w:color w:val="auto"/>
        </w:rPr>
        <w:t>UNDED</w:t>
      </w:r>
      <w:r w:rsidR="007134C3">
        <w:rPr>
          <w:rFonts w:ascii="Georgia" w:hAnsi="Georgia" w:cstheme="minorBidi"/>
          <w:color w:val="auto"/>
        </w:rPr>
        <w:t xml:space="preserve"> </w:t>
      </w:r>
      <w:r w:rsidR="00282714" w:rsidRPr="00702842">
        <w:rPr>
          <w:rFonts w:ascii="Georgia" w:hAnsi="Georgia" w:cstheme="minorBidi"/>
          <w:b/>
          <w:color w:val="auto"/>
        </w:rPr>
        <w:t>prize committee</w:t>
      </w:r>
      <w:r w:rsidR="00282714" w:rsidRPr="00282714">
        <w:rPr>
          <w:rFonts w:ascii="Georgia" w:hAnsi="Georgia" w:cstheme="minorBidi"/>
          <w:color w:val="auto"/>
        </w:rPr>
        <w:t xml:space="preserve">, which needs to consider your expert assessment in determining </w:t>
      </w:r>
      <w:r w:rsidR="00702842">
        <w:rPr>
          <w:rFonts w:ascii="Georgia" w:hAnsi="Georgia" w:cstheme="minorBidi"/>
          <w:color w:val="auto"/>
        </w:rPr>
        <w:t xml:space="preserve">senior thesis </w:t>
      </w:r>
      <w:r w:rsidR="00282714" w:rsidRPr="00282714">
        <w:rPr>
          <w:rFonts w:ascii="Georgia" w:hAnsi="Georgia" w:cstheme="minorBidi"/>
          <w:color w:val="auto"/>
        </w:rPr>
        <w:t>prizes.</w:t>
      </w:r>
    </w:p>
    <w:p w14:paraId="4EF9562B" w14:textId="77777777" w:rsidR="00295C90" w:rsidRPr="0005398B" w:rsidRDefault="00295C90" w:rsidP="00295C90">
      <w:pPr>
        <w:pStyle w:val="Default"/>
        <w:rPr>
          <w:rFonts w:ascii="Georgia" w:hAnsi="Georgia" w:cstheme="minorBidi"/>
          <w:color w:val="auto"/>
        </w:rPr>
      </w:pPr>
    </w:p>
    <w:p w14:paraId="4E6B875D" w14:textId="77777777" w:rsidR="00295C90" w:rsidRPr="0005398B" w:rsidRDefault="00295C90" w:rsidP="00295C90">
      <w:pPr>
        <w:pStyle w:val="Default"/>
        <w:rPr>
          <w:rFonts w:ascii="Georgia" w:hAnsi="Georgia" w:cstheme="minorBidi"/>
          <w:color w:val="auto"/>
        </w:rPr>
      </w:pPr>
      <w:r w:rsidRPr="0005398B">
        <w:rPr>
          <w:rFonts w:ascii="Georgia" w:hAnsi="Georgia" w:cstheme="minorBidi"/>
          <w:color w:val="auto"/>
        </w:rPr>
        <w:t>As a rule, Second Readers should</w:t>
      </w:r>
      <w:r w:rsidR="00E20794" w:rsidRPr="0005398B">
        <w:rPr>
          <w:rFonts w:ascii="Georgia" w:hAnsi="Georgia" w:cstheme="minorBidi"/>
          <w:color w:val="auto"/>
        </w:rPr>
        <w:t xml:space="preserve"> be members of the History Department</w:t>
      </w:r>
      <w:r w:rsidRPr="0005398B">
        <w:rPr>
          <w:rFonts w:ascii="Georgia" w:hAnsi="Georgia" w:cstheme="minorBidi"/>
          <w:color w:val="auto"/>
        </w:rPr>
        <w:t xml:space="preserve"> (whether at Colum</w:t>
      </w:r>
      <w:r w:rsidR="00E20794" w:rsidRPr="0005398B">
        <w:rPr>
          <w:rFonts w:ascii="Georgia" w:hAnsi="Georgia" w:cstheme="minorBidi"/>
          <w:color w:val="auto"/>
        </w:rPr>
        <w:t>bia or Barnard), or on the Department</w:t>
      </w:r>
      <w:r w:rsidRPr="0005398B">
        <w:rPr>
          <w:rFonts w:ascii="Georgia" w:hAnsi="Georgia" w:cstheme="minorBidi"/>
          <w:color w:val="auto"/>
        </w:rPr>
        <w:t xml:space="preserve">'s list of other faculty whose courses are approved for departmental credit. (Barnard faculty, who themselves all advise several Barnard theses, should not feel constrained in any way to act as Second Readers for Columbia students). </w:t>
      </w:r>
    </w:p>
    <w:p w14:paraId="0E34C92A" w14:textId="77777777" w:rsidR="00295C90" w:rsidRPr="0005398B" w:rsidRDefault="00295C90" w:rsidP="00295C90">
      <w:pPr>
        <w:pStyle w:val="Default"/>
        <w:rPr>
          <w:rFonts w:ascii="Georgia" w:hAnsi="Georgia" w:cstheme="minorBidi"/>
          <w:color w:val="auto"/>
        </w:rPr>
      </w:pPr>
    </w:p>
    <w:p w14:paraId="1A160396" w14:textId="77777777" w:rsidR="00295C90" w:rsidRPr="0005398B" w:rsidRDefault="00E20794" w:rsidP="00295C90">
      <w:pPr>
        <w:pStyle w:val="Default"/>
        <w:rPr>
          <w:rFonts w:ascii="Georgia" w:hAnsi="Georgia" w:cstheme="minorBidi"/>
          <w:color w:val="auto"/>
        </w:rPr>
      </w:pPr>
      <w:r w:rsidRPr="0005398B">
        <w:rPr>
          <w:rFonts w:ascii="Georgia" w:hAnsi="Georgia" w:cstheme="minorBidi"/>
          <w:color w:val="auto"/>
        </w:rPr>
        <w:t xml:space="preserve">All members of the </w:t>
      </w:r>
      <w:r w:rsidR="0004569E" w:rsidRPr="0005398B">
        <w:rPr>
          <w:rFonts w:ascii="Georgia" w:hAnsi="Georgia" w:cstheme="minorBidi"/>
          <w:color w:val="auto"/>
        </w:rPr>
        <w:t>Department</w:t>
      </w:r>
      <w:r w:rsidR="00295C90" w:rsidRPr="0005398B">
        <w:rPr>
          <w:rFonts w:ascii="Georgia" w:hAnsi="Georgia" w:cstheme="minorBidi"/>
          <w:color w:val="auto"/>
        </w:rPr>
        <w:t xml:space="preserve"> should be willing to act as Second Readers for at least one, but no more than two students. Because of the large number of theses in some areas, some students may not be assigned their ideal Second Reader and may have a reader a little outside their exact field. </w:t>
      </w:r>
    </w:p>
    <w:p w14:paraId="5994553A" w14:textId="77777777" w:rsidR="00295C90" w:rsidRPr="0005398B" w:rsidRDefault="00295C90" w:rsidP="00295C90">
      <w:pPr>
        <w:pStyle w:val="Default"/>
        <w:rPr>
          <w:rFonts w:ascii="Georgia" w:hAnsi="Georgia"/>
        </w:rPr>
      </w:pPr>
    </w:p>
    <w:p w14:paraId="48ABF210" w14:textId="4501814B" w:rsidR="00295C90" w:rsidRPr="00702842" w:rsidRDefault="00295C90" w:rsidP="008B6D89">
      <w:pPr>
        <w:rPr>
          <w:rFonts w:ascii="Georgia" w:hAnsi="Georgia"/>
          <w:sz w:val="24"/>
          <w:szCs w:val="24"/>
        </w:rPr>
      </w:pPr>
      <w:r w:rsidRPr="0005398B">
        <w:rPr>
          <w:rFonts w:ascii="Georgia" w:hAnsi="Georgia"/>
          <w:sz w:val="24"/>
          <w:szCs w:val="24"/>
        </w:rPr>
        <w:t xml:space="preserve">In some cases, students may have developed an advisory relationship with a non-departmental faculty member or argue that such a professor would make the ideal </w:t>
      </w:r>
      <w:r w:rsidRPr="0005398B">
        <w:rPr>
          <w:rFonts w:ascii="Georgia" w:hAnsi="Georgia"/>
          <w:bCs/>
          <w:sz w:val="24"/>
          <w:szCs w:val="24"/>
        </w:rPr>
        <w:t>Second Reader</w:t>
      </w:r>
      <w:r w:rsidRPr="0005398B">
        <w:rPr>
          <w:rFonts w:ascii="Georgia" w:hAnsi="Georgia"/>
          <w:sz w:val="24"/>
          <w:szCs w:val="24"/>
        </w:rPr>
        <w:t>. Such students should feel free to work with and non-</w:t>
      </w:r>
      <w:r w:rsidR="00C4045F">
        <w:rPr>
          <w:rFonts w:ascii="Georgia" w:hAnsi="Georgia"/>
          <w:sz w:val="24"/>
          <w:szCs w:val="24"/>
        </w:rPr>
        <w:t>departmental faculty member;</w:t>
      </w:r>
      <w:r w:rsidRPr="0005398B">
        <w:rPr>
          <w:rFonts w:ascii="Georgia" w:hAnsi="Georgia"/>
          <w:sz w:val="24"/>
          <w:szCs w:val="24"/>
        </w:rPr>
        <w:t xml:space="preserve"> the DUS can approve exceptions in cases where no departmental </w:t>
      </w:r>
      <w:r w:rsidR="00702842">
        <w:rPr>
          <w:rFonts w:ascii="Georgia" w:hAnsi="Georgia"/>
          <w:sz w:val="24"/>
          <w:szCs w:val="24"/>
        </w:rPr>
        <w:t>Second Reader</w:t>
      </w:r>
      <w:r w:rsidRPr="0005398B">
        <w:rPr>
          <w:rFonts w:ascii="Georgia" w:hAnsi="Georgia"/>
          <w:sz w:val="24"/>
          <w:szCs w:val="24"/>
        </w:rPr>
        <w:t xml:space="preserve"> can be found.</w:t>
      </w:r>
    </w:p>
    <w:sectPr w:rsidR="00295C90" w:rsidRPr="007028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2B92"/>
    <w:multiLevelType w:val="hybridMultilevel"/>
    <w:tmpl w:val="FC2EF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9774A2"/>
    <w:multiLevelType w:val="hybridMultilevel"/>
    <w:tmpl w:val="5A0C0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E906CF"/>
    <w:multiLevelType w:val="hybridMultilevel"/>
    <w:tmpl w:val="E6F01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C90"/>
    <w:rsid w:val="0004569E"/>
    <w:rsid w:val="0005398B"/>
    <w:rsid w:val="0028143C"/>
    <w:rsid w:val="00282714"/>
    <w:rsid w:val="00295C90"/>
    <w:rsid w:val="00702842"/>
    <w:rsid w:val="00712BE7"/>
    <w:rsid w:val="007134C3"/>
    <w:rsid w:val="008B6D89"/>
    <w:rsid w:val="009E2B54"/>
    <w:rsid w:val="00B46418"/>
    <w:rsid w:val="00C4045F"/>
    <w:rsid w:val="00C471A5"/>
    <w:rsid w:val="00E20794"/>
    <w:rsid w:val="00E34809"/>
    <w:rsid w:val="00E57BB0"/>
    <w:rsid w:val="00EB4D47"/>
    <w:rsid w:val="00F352F0"/>
    <w:rsid w:val="00FF1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6F9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5C90"/>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20794"/>
    <w:rPr>
      <w:color w:val="0000FF" w:themeColor="hyperlink"/>
      <w:u w:val="single"/>
    </w:rPr>
  </w:style>
  <w:style w:type="paragraph" w:styleId="ListParagraph">
    <w:name w:val="List Paragraph"/>
    <w:basedOn w:val="Normal"/>
    <w:uiPriority w:val="34"/>
    <w:qFormat/>
    <w:rsid w:val="00E2079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5C90"/>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20794"/>
    <w:rPr>
      <w:color w:val="0000FF" w:themeColor="hyperlink"/>
      <w:u w:val="single"/>
    </w:rPr>
  </w:style>
  <w:style w:type="paragraph" w:styleId="ListParagraph">
    <w:name w:val="List Paragraph"/>
    <w:basedOn w:val="Normal"/>
    <w:uiPriority w:val="34"/>
    <w:qFormat/>
    <w:rsid w:val="00E20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21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2241</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Columbia University</dc:creator>
  <cp:lastModifiedBy>Sia</cp:lastModifiedBy>
  <cp:revision>2</cp:revision>
  <dcterms:created xsi:type="dcterms:W3CDTF">2018-02-05T20:01:00Z</dcterms:created>
  <dcterms:modified xsi:type="dcterms:W3CDTF">2018-02-05T20:01:00Z</dcterms:modified>
</cp:coreProperties>
</file>